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jc w:val="both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Приложение № 3 </w:t>
      </w:r>
      <w:r>
        <w:rPr>
          <w:rFonts w:ascii="PT Astra Serif" w:hAnsi="PT Astra Serif" w:cs="Times New Roman"/>
          <w:sz w:val="24"/>
          <w:szCs w:val="24"/>
        </w:rPr>
      </w:r>
      <w:r>
        <w:rPr>
          <w:rFonts w:ascii="PT Astra Serif" w:hAnsi="PT Astra Serif" w:cs="Times New Roman"/>
          <w:sz w:val="24"/>
          <w:szCs w:val="24"/>
        </w:rPr>
      </w:r>
    </w:p>
    <w:p>
      <w:pPr>
        <w:ind w:left="5103"/>
        <w:jc w:val="both"/>
        <w:spacing w:after="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4"/>
          <w:szCs w:val="24"/>
        </w:rPr>
        <w:t xml:space="preserve">к Прогнозу социально-экономического развития </w:t>
      </w:r>
      <w:r>
        <w:rPr>
          <w:rFonts w:ascii="PT Astra Serif" w:hAnsi="PT Astra Serif" w:eastAsia="Calibri" w:cs="Times New Roman"/>
          <w:sz w:val="24"/>
          <w:szCs w:val="24"/>
        </w:rPr>
        <w:t xml:space="preserve">Томской</w:t>
      </w:r>
      <w:r>
        <w:rPr>
          <w:rFonts w:ascii="PT Astra Serif" w:hAnsi="PT Astra Serif" w:eastAsia="Calibri" w:cs="Times New Roman"/>
          <w:sz w:val="24"/>
          <w:szCs w:val="24"/>
        </w:rPr>
        <w:t xml:space="preserve"> области на 2027 год </w:t>
      </w:r>
      <w:r>
        <w:rPr>
          <w:rFonts w:ascii="PT Astra Serif" w:hAnsi="PT Astra Serif" w:eastAsia="Calibri" w:cs="Times New Roman"/>
          <w:sz w:val="24"/>
          <w:szCs w:val="24"/>
        </w:rPr>
        <w:br/>
        <w:t xml:space="preserve">и на плановый период 2028 – 2029 годов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Инвестиционные проекты, реализуемые на территории </w:t>
      </w:r>
      <w:r>
        <w:rPr>
          <w:rFonts w:ascii="PT Astra Serif" w:hAnsi="PT Astra Serif" w:cs="Times New Roman"/>
          <w:sz w:val="26"/>
          <w:szCs w:val="26"/>
        </w:rPr>
        <w:br/>
        <w:t xml:space="preserve">Томской области в 2026 году и запланированные</w:t>
      </w:r>
      <w:r>
        <w:rPr>
          <w:rFonts w:ascii="PT Astra Serif" w:hAnsi="PT Astra Serif" w:cs="Times New Roman"/>
          <w:sz w:val="26"/>
          <w:szCs w:val="26"/>
        </w:rPr>
        <w:br/>
        <w:t xml:space="preserve">к реализации в 2027 – 2029</w:t>
      </w:r>
      <w:r>
        <w:rPr>
          <w:rFonts w:ascii="PT Astra Serif" w:hAnsi="PT Astra Serif" w:cs="Times New Roman"/>
          <w:sz w:val="26"/>
          <w:szCs w:val="26"/>
        </w:rPr>
        <w:t xml:space="preserve"> годах 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Представленный перечень инвестиционных проектов, реализуемых </w:t>
      </w:r>
      <w:r>
        <w:rPr>
          <w:rFonts w:ascii="PT Astra Serif" w:hAnsi="PT Astra Serif" w:cs="Times New Roman"/>
          <w:sz w:val="26"/>
          <w:szCs w:val="26"/>
        </w:rPr>
        <w:br/>
        <w:t xml:space="preserve">на территории Томской области в 2026 году и запланированных к реализации </w:t>
      </w:r>
      <w:r>
        <w:rPr>
          <w:rFonts w:ascii="PT Astra Serif" w:hAnsi="PT Astra Serif" w:cs="Times New Roman"/>
          <w:sz w:val="26"/>
          <w:szCs w:val="26"/>
        </w:rPr>
        <w:br/>
        <w:t xml:space="preserve">в 2027 – 2029 годах, учтен в базовом варианте Прогноза социально-экономического развития Томской области на 202</w:t>
      </w:r>
      <w:r>
        <w:rPr>
          <w:rFonts w:ascii="PT Astra Serif" w:hAnsi="PT Astra Serif" w:cs="Times New Roman"/>
          <w:sz w:val="26"/>
          <w:szCs w:val="26"/>
        </w:rPr>
        <w:t xml:space="preserve">6 год и на плановый период 2027 – 2029 годов.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На территории Томской области успешно реализуются крупные инвестиционные проекты, оказывающие влияние на показатели социально-экономического развития Томской области. 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Times New Roman"/>
          <w:sz w:val="26"/>
          <w:szCs w:val="26"/>
          <w:highlight w:val="yellow"/>
        </w:rPr>
      </w:pPr>
      <w:r>
        <w:rPr>
          <w:rFonts w:ascii="PT Astra Serif" w:hAnsi="PT Astra Serif" w:cs="Times New Roman"/>
          <w:sz w:val="26"/>
          <w:szCs w:val="26"/>
          <w:highlight w:val="yellow"/>
        </w:rPr>
      </w:r>
      <w:r>
        <w:rPr>
          <w:rFonts w:ascii="PT Astra Serif" w:hAnsi="PT Astra Serif" w:cs="Times New Roman"/>
          <w:sz w:val="26"/>
          <w:szCs w:val="26"/>
          <w:highlight w:val="yellow"/>
        </w:rPr>
      </w:r>
      <w:r>
        <w:rPr>
          <w:rFonts w:ascii="PT Astra Serif" w:hAnsi="PT Astra Serif" w:cs="Times New Roman"/>
          <w:sz w:val="26"/>
          <w:szCs w:val="26"/>
          <w:highlight w:val="yellow"/>
        </w:rPr>
      </w:r>
    </w:p>
    <w:p>
      <w:pPr>
        <w:pStyle w:val="905"/>
        <w:ind w:left="0"/>
        <w:jc w:val="center"/>
        <w:spacing w:after="0" w:line="240" w:lineRule="auto"/>
        <w:tabs>
          <w:tab w:val="left" w:pos="993" w:leader="none"/>
        </w:tabs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Перечень </w:t>
      </w:r>
      <w:r>
        <w:rPr>
          <w:rFonts w:ascii="PT Astra Serif" w:hAnsi="PT Astra Serif"/>
          <w:sz w:val="26"/>
          <w:szCs w:val="26"/>
        </w:rPr>
        <w:br/>
        <w:t xml:space="preserve">крупных </w:t>
      </w:r>
      <w:r>
        <w:rPr>
          <w:rFonts w:ascii="PT Astra Serif" w:hAnsi="PT Astra Serif" w:cs="Times New Roman"/>
          <w:sz w:val="26"/>
          <w:szCs w:val="26"/>
        </w:rPr>
        <w:t xml:space="preserve">инвестиционных проектов</w:t>
      </w:r>
      <w:r>
        <w:rPr>
          <w:rFonts w:ascii="PT Astra Serif" w:hAnsi="PT Astra Serif" w:cs="Times New Roman"/>
          <w:sz w:val="26"/>
          <w:szCs w:val="26"/>
        </w:rPr>
        <w:t xml:space="preserve">, в т.ч. обеспечивающих достижение </w:t>
      </w:r>
      <w:r>
        <w:rPr>
          <w:rFonts w:ascii="PT Astra Serif" w:hAnsi="PT Astra Serif" w:cs="Times New Roman"/>
          <w:sz w:val="26"/>
          <w:szCs w:val="26"/>
        </w:rPr>
        <w:br/>
        <w:t xml:space="preserve">целевых показателей социально-экономического развития СФО </w:t>
      </w:r>
      <w:r>
        <w:rPr>
          <w:rFonts w:ascii="PT Astra Serif" w:hAnsi="PT Astra Serif" w:cs="Times New Roman"/>
          <w:sz w:val="26"/>
          <w:szCs w:val="26"/>
        </w:rPr>
        <w:br/>
        <w:t xml:space="preserve">и предусмотренных в плане реализации Стратегии Сибири 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905"/>
        <w:ind w:left="0"/>
        <w:jc w:val="center"/>
        <w:spacing w:after="0" w:line="240" w:lineRule="auto"/>
        <w:tabs>
          <w:tab w:val="left" w:pos="993" w:leader="none"/>
        </w:tabs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tbl>
      <w:tblPr>
        <w:tblStyle w:val="912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418"/>
        <w:gridCol w:w="1701"/>
        <w:gridCol w:w="1134"/>
      </w:tblGrid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/>
                <w:sz w:val="24"/>
                <w:szCs w:val="24"/>
              </w:rPr>
              <w:t xml:space="preserve">/п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905"/>
              <w:ind w:left="0"/>
              <w:jc w:val="center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vAlign w:val="center"/>
            <w:textDirection w:val="lrTb"/>
            <w:noWrap w:val="false"/>
          </w:tcPr>
          <w:p>
            <w:pPr>
              <w:pStyle w:val="905"/>
              <w:ind w:left="0"/>
              <w:jc w:val="center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05"/>
              <w:ind w:left="0"/>
              <w:jc w:val="center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Срок реализации проекта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05"/>
              <w:ind w:left="0"/>
              <w:jc w:val="center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Объем инвестиций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5"/>
              <w:ind w:left="0"/>
              <w:jc w:val="center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чество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рабочих мест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PT Astra Serif" w:hAnsi="PT Astra Serif" w:eastAsia="Courier New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Строительство опытно-демонстрационного энергокомплекса в составе энергоблока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с реактором на быстрых нейтронах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со свинцовым теплоносителем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«БРЕСТ-ОД-300» с пристанционным ядерным топливным циклом в г. Северске</w:t>
            </w:r>
            <w:r>
              <w:rPr>
                <w:rFonts w:ascii="PT Astra Serif" w:hAnsi="PT Astra Serif" w:eastAsia="Courier New" w:cs="Times New Roman"/>
                <w:sz w:val="24"/>
                <w:szCs w:val="24"/>
              </w:rPr>
            </w:r>
            <w:r>
              <w:rPr>
                <w:rFonts w:ascii="PT Astra Serif" w:hAnsi="PT Astra Serif" w:eastAsia="Courier New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2021 – 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  <w:br/>
              <w:t xml:space="preserve">2029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 гг.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372,9 млрд. руб.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ромышленная разработка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Туганского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ильменит-циркониевого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россыпного месторождения. Этап 2-й. Строительство горно-обогатительного комбината производственной мощностью 6,9 млн. тонн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 год (линиями по 2,3 млн. тонн в год)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(АО «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Туганский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горно-обогатительный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комбинат «Ильменит»)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 2048 гг.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36,3 млрд. руб.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360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3.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Создание современного межвузовского кампуса в г. Томске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2027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2031 гг.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45 млрд. руб.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298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Создание лесозаготовительной инфраструктуры для освоения труднодоступных лесных территорий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в Александровском и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Каргасокском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районах Томской области, создание мощностей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по комплексной переработке древесины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в с. Красный Яр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Кривошеинского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района Томской области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(предусмотрен в плане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реализации Стратегии Сибири)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2019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2028 гг.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1,5 млрд. руб.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302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5.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 w:eastAsia="Courier New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Строительство нового молочно-товарного комплекса на 1999 коров (ООО 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Большедороховское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молоко»)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(в рамках Стратегии Сибири)</w:t>
            </w:r>
            <w:r>
              <w:rPr>
                <w:rFonts w:ascii="PT Astra Serif" w:hAnsi="PT Astra Serif" w:eastAsia="Courier New" w:cs="Times New Roman"/>
                <w:sz w:val="24"/>
                <w:szCs w:val="24"/>
              </w:rPr>
            </w:r>
            <w:r>
              <w:rPr>
                <w:rFonts w:ascii="PT Astra Serif" w:hAnsi="PT Astra Serif" w:eastAsia="Courier New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2023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2027 гг.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2,3 млрд. руб.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77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tabs>
                <w:tab w:val="left" w:pos="993" w:leader="none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Реализация проекта «Палеозой» (совместно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с ПАО «Газпромнефть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и АО «Независимая нефтяная компания» на базе совместного предприятия АО «Томскнефть» ВНК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 2037 г.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42,1 млрд. руб.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5"/>
              <w:ind w:left="0"/>
              <w:tabs>
                <w:tab w:val="left" w:pos="993" w:leader="none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около 100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120" w:line="240" w:lineRule="auto"/>
        <w:widowControl w:val="off"/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Кроме крупных инвестиционных проектов к реализации до 2029 года запланированы следующие инвестиционные проекты: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Courier New" w:cs="Times New Roman"/>
          <w:i/>
          <w:sz w:val="26"/>
          <w:szCs w:val="26"/>
        </w:rPr>
      </w:pPr>
      <w:r>
        <w:rPr>
          <w:rFonts w:ascii="PT Astra Serif" w:hAnsi="PT Astra Serif" w:eastAsia="Courier New" w:cs="Times New Roman"/>
          <w:i/>
          <w:sz w:val="26"/>
          <w:szCs w:val="26"/>
        </w:rPr>
      </w:r>
      <w:r>
        <w:rPr>
          <w:rFonts w:ascii="PT Astra Serif" w:hAnsi="PT Astra Serif" w:eastAsia="Courier New" w:cs="Times New Roman"/>
          <w:i/>
          <w:sz w:val="26"/>
          <w:szCs w:val="26"/>
        </w:rPr>
      </w:r>
      <w:r>
        <w:rPr>
          <w:rFonts w:ascii="PT Astra Serif" w:hAnsi="PT Astra Serif" w:eastAsia="Courier New" w:cs="Times New Roman"/>
          <w:i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Сельское хозяйство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комплекса по первичной переработке ягоды с холодильным оборудованием, д.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Кандинка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Томский район, ООО СП «Северный сад»;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интенсивного сада жимолости, приобретение техники и оборудования, д.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Кандинка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Томский район, ООО СП «Северный сад»;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модернизация цеха убоя на птицефабрике «Томская», в том числе строительство пожарного резервуара с насосной станцией, капитальный ремонт очистных сооружений, строительство машинно-тракторной станции для увеличения по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севной площади, АО «Сибагро»;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увеличение объемов производства столового яйца на птицефабрике «Томская», АО «Сибагро»;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зерносушильного комплекса, АО «Сибагро»;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корпуса по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доращиванию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молодняка (1 очередь) /  Строительство корпус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по выращиванию нетелей (2 очередь),                                                 ООО "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Большедороховское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молоко";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доильного зала (параллель на 50 голов), ООО "Заречное";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новых теплиц и реконструкция существующих, ООО "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Трубач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ево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";</w:t>
      </w:r>
      <w:bookmarkStart w:id="0" w:name="_GoBack"/>
      <w:r/>
      <w:bookmarkEnd w:id="0"/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крестьянского (фермерского) хозяйства в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Молчановском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районе, ИП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Студенков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Д.В.;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сельскохозяйственного предприятия по возделыванию и первичной переработке льна-долгунца на территории Томской области, ООО «АГРО-ТОМСК»;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организация жив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отноводческого комплекса по выращиванию породы крупного рогатого скота «Герефордская» с маточным поголовьем к 2027 г. 300 голов: объем реализации продукции 20 тонн/год, КФХ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Недрогайлова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Т.Г.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Добыча полезных ископаемых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 месторождений ООО «Газпром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нефть-Восток»;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 месторождений АО «Газпром добыча Томск»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/АО 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Востокгазпром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Разведка и добыча песчано-гравийного материала на участке недр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Ржавцы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», </w:t>
      </w:r>
      <w:r>
        <w:rPr>
          <w:rFonts w:ascii="PT Astra Serif" w:hAnsi="PT Astra Serif"/>
          <w:sz w:val="26"/>
          <w:szCs w:val="26"/>
        </w:rPr>
        <w:t xml:space="preserve">ООО «ТИСК – ТОРГ».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0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Обрабатывающая промышленность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Модернизация и автоматизация производства, пр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оизводственных линий по изготовлению кондитерских изделий на основе дикорастущего сырья (кедрового ореха и ягод), ООО "Эко-фабрика Сибирский кедр";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модернизация и техническое перевооружение производства, ООО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Луквис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техническое перевооружение и модерниза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ция для повышения производительности деятельности предприятия, ООО «СЭТК»;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 и организация сборочного производства (модели БПЛА на основе технологий искусственного интеллекта и робототехники) ООО «ТК «Полюс»;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 и создание технологических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линий по  производству субстанций из растительного сырья, ООО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Солагифт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максимизация мощности производств мономеров и ПЭНП, ООО «Томскнефтехим»;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завода по глубокой переработке древесины, ООО 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Технокомплект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производство кабельной продукции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АО «Сибкабель»;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инвестиционные программы, АО «НПФ «Микран»;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 производных биополимеров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полилактидкликолида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ООО 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Новохим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новых объектов, приобретение машин, оборудования приобретение транспортных средств, реконструкция действующих объектов,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ООО «Биолит»;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стратегически значимого производства активных фармацевтических субстанций, ООО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Амехим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программно-аппаратных комплексов и средств защиты информации. Создание научно-производственного комплекса для разработки, опытного и мелкосерийного производства программно-аппаратных комплексов и средств защиты информации, АО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ПроКванТ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разработка, прои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зводство и реализация систем машинного зрения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и контрольно-измерительного оборудования для автоматизации различных отраслей промышленности, ООО «Технологии машинного зрения»;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ипортозамещение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на рынке антикоррозийных защитных покрытий, разработка и внедрен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ие современных антикоррозийных материалов, ООО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Колор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защитные покрытия»;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разработка, производство оборудования и материалов для водоподготовки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и водоочистки, ООО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Ватерком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разработка и производство электронно-лучевых 3D-принтеров </w:t>
      </w:r>
      <w:r>
        <w:rPr>
          <w:rFonts w:ascii="PT Astra Serif" w:hAnsi="PT Astra Serif" w:eastAsia="Courier New" w:cs="Times New Roman"/>
          <w:sz w:val="26"/>
          <w:szCs w:val="26"/>
        </w:rPr>
        <w:br/>
      </w:r>
      <w:r>
        <w:rPr>
          <w:rFonts w:ascii="PT Astra Serif" w:hAnsi="PT Astra Serif" w:eastAsia="Courier New" w:cs="Times New Roman"/>
          <w:sz w:val="26"/>
          <w:szCs w:val="26"/>
        </w:rPr>
        <w:t xml:space="preserve">для аддитивного производства из металлических материалов, ООО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Фабметалл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развитие технологий производства фторсодержащих продуктов для ядерного топливного цикла, ООО «Аврора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Кэмикалс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на базе ООО Научно-производственная компания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«ВАБ-70» совре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менного машиностроительного завода по производству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нестандартизированного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емкостного оборудования, специальной оснастки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и запасных частей для объектов использования атомной энергии, АЭС, оборонно-промышленного комплекса, нефтегазовой отрасли, ООО «НПК «В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АБ-70».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Обеспечение электрической энергией, газом и паром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программа АО «РИР» в сфере теплоснабжения на 2024-</w:t>
      </w:r>
      <w:r>
        <w:rPr>
          <w:rFonts w:ascii="PT Astra Serif" w:hAnsi="PT Astra Serif" w:eastAsia="Courier New" w:cs="Times New Roman"/>
          <w:sz w:val="26"/>
          <w:szCs w:val="26"/>
        </w:rPr>
        <w:t xml:space="preserve">2026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ООО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 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Горсети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 на 2025 – 2029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ООО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«Электросети» ЗАТО Северск на 20</w:t>
      </w:r>
      <w:r>
        <w:rPr>
          <w:rFonts w:ascii="PT Astra Serif" w:hAnsi="PT Astra Serif" w:eastAsia="Courier New" w:cs="Times New Roman"/>
          <w:sz w:val="26"/>
          <w:szCs w:val="26"/>
        </w:rPr>
        <w:t xml:space="preserve">23 – 2027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программа АО «Томская генерация» в сфере теплоснабжения на 2024 – 2028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программа АО «Томск РТС» в 2024 – 2028 гг.;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ООО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 «Томские электрические сети» на 2024 – 2028 годы;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онная программа ОАО «РЖД» на 2026 – 2029гг.;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программа АО 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Оборонэнерго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 на 2025 – 2029 гг.;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программа ПАО «Россети Томск» на 2025 – 2029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программа ПАО «Россети» (ранее – ФСК ЕЭС) на 2025 – 2029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естиционная программа АО «Томскэнергосбыт» на 2025 – 2028 гг.;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инвестиционная программ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ООО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«Энергонефть Томск» на 2025 – 2029 годы;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проектирование, строительство (реконструкция) газовых котельных города Асино.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Водоснабжение; водоотведение; организация с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бора и утилизации отходов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производственно-технический комплекс для обращения с отходами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I – II классов опасности «Западная Сибирь».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Торговля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Создание логистического центра, ООО «Интернет Решения» (ООО «Терминал-А);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торгового центра, г. Асин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о, ООО СК «Развитие»;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торгового комплекса,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г.о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. Стрежевой, ИП Сафин И.Л.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Дорожная деятельность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автомобильной дороги Малое транспортное кольцо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г. Томска на участке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0 – км 5,</w:t>
      </w:r>
      <w:r>
        <w:rPr>
          <w:rFonts w:ascii="PT Astra Serif" w:hAnsi="PT Astra Serif"/>
          <w:sz w:val="26"/>
          <w:szCs w:val="26"/>
        </w:rPr>
        <w:t xml:space="preserve"> ОГКУ «</w:t>
      </w:r>
      <w:r>
        <w:rPr>
          <w:rFonts w:ascii="PT Astra Serif" w:hAnsi="PT Astra Serif"/>
          <w:sz w:val="26"/>
          <w:szCs w:val="26"/>
        </w:rPr>
        <w:t xml:space="preserve">Томскавтодор</w:t>
      </w:r>
      <w:r>
        <w:rPr>
          <w:rFonts w:ascii="PT Astra Serif" w:hAnsi="PT Astra Serif"/>
          <w:sz w:val="26"/>
          <w:szCs w:val="26"/>
        </w:rPr>
        <w:t xml:space="preserve">»</w:t>
      </w:r>
      <w:r>
        <w:rPr>
          <w:rFonts w:ascii="PT Astra Serif" w:hAnsi="PT Astra Serif" w:eastAsia="Courier New" w:cs="Times New Roman"/>
          <w:sz w:val="26"/>
          <w:szCs w:val="26"/>
        </w:rPr>
        <w:t xml:space="preserve">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реконструкция автомобильной д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ороги Могильный Мыс-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Парабель</w:t>
      </w:r>
      <w:r>
        <w:rPr>
          <w:rFonts w:ascii="PT Astra Serif" w:hAnsi="PT Astra Serif" w:eastAsia="Courier New" w:cs="Times New Roman"/>
          <w:sz w:val="26"/>
          <w:szCs w:val="26"/>
        </w:rPr>
        <w:t xml:space="preserve">-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Каргасок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км 30 - км 45 в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Колпашевском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районе.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Операции с недвижимым имуществом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жилого района «Южные ворота», ОАО «ТДСК»;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многоквартирных многоэтажных домов, ООО «СЗ ВИРА»;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жилого микро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района № 12а в г. Северске, ОАО «ТДСК»;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микрорайона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Левобережный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ООО «Группа компаний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«Карьероуправление»;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жилого комплекса «Ботаника» в Восточной части г. Томска, ПАО «ТДСК», ООО «ТДСК ИНВЕСТ-2»;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жилого комплекс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 по ул. Нижне-Луговая в г. Томске, ООО «ТДСК ИНВЕСТ»;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trike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ЖК «Ломоносов», SD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Group</w:t>
      </w:r>
      <w:r>
        <w:rPr>
          <w:rFonts w:ascii="PT Astra Serif" w:hAnsi="PT Astra Serif" w:eastAsia="Courier New" w:cs="Times New Roman"/>
          <w:sz w:val="26"/>
          <w:szCs w:val="26"/>
        </w:rPr>
        <w:t xml:space="preserve">;</w:t>
      </w:r>
      <w:r>
        <w:rPr>
          <w:rFonts w:ascii="PT Astra Serif" w:hAnsi="PT Astra Serif" w:eastAsia="Courier New" w:cs="Times New Roman"/>
          <w:strike/>
          <w:sz w:val="26"/>
          <w:szCs w:val="26"/>
        </w:rPr>
        <w:t xml:space="preserve"> </w:t>
      </w:r>
      <w:r>
        <w:rPr>
          <w:rFonts w:ascii="PT Astra Serif" w:hAnsi="PT Astra Serif" w:eastAsia="Courier New" w:cs="Times New Roman"/>
          <w:strike/>
          <w:sz w:val="26"/>
          <w:szCs w:val="26"/>
        </w:rPr>
      </w:r>
      <w:r>
        <w:rPr>
          <w:rFonts w:ascii="PT Astra Serif" w:hAnsi="PT Astra Serif" w:eastAsia="Courier New" w:cs="Times New Roman"/>
          <w:strike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none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комплексная застройка территории жилого микрорайона «Заповедный», группа компаний «ТИСК»;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white"/>
          <w14:ligatures w14:val="none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нового района Томска с инженерной, социальной и коммерческой инфраструктурой на левом берегу реки Томи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</w:t>
      </w:r>
      <w:r>
        <w:rPr>
          <w:rFonts w:ascii="PT Astra Serif" w:hAnsi="PT Astra Serif" w:eastAsia="Courier New" w:cs="Times New Roman"/>
          <w:sz w:val="26"/>
          <w:szCs w:val="26"/>
          <w:highlight w:val="white"/>
        </w:rPr>
        <w:t xml:space="preserve">АО «Элеонор </w:t>
      </w:r>
      <w:r>
        <w:rPr>
          <w:rFonts w:ascii="PT Astra Serif" w:hAnsi="PT Astra Serif" w:eastAsia="Courier New" w:cs="Times New Roman"/>
          <w:sz w:val="26"/>
          <w:szCs w:val="26"/>
          <w:highlight w:val="white"/>
        </w:rPr>
        <w:t xml:space="preserve">Эмеральд</w:t>
      </w:r>
      <w:r>
        <w:rPr>
          <w:rFonts w:ascii="PT Astra Serif" w:hAnsi="PT Astra Serif" w:eastAsia="Courier New" w:cs="Times New Roman"/>
          <w:sz w:val="26"/>
          <w:szCs w:val="26"/>
          <w:highlight w:val="white"/>
        </w:rPr>
        <w:t xml:space="preserve"> Смарт Сити»;</w:t>
      </w:r>
      <w:r>
        <w:rPr>
          <w:rFonts w:ascii="PT Astra Serif" w:hAnsi="PT Astra Serif" w:eastAsia="Courier New" w:cs="Times New Roman"/>
          <w:sz w:val="26"/>
          <w:szCs w:val="26"/>
          <w:highlight w:val="white"/>
          <w14:ligatures w14:val="none"/>
        </w:rPr>
      </w:r>
      <w:r>
        <w:rPr>
          <w:rFonts w:ascii="PT Astra Serif" w:hAnsi="PT Astra Serif" w:eastAsia="Courier New" w:cs="Times New Roman"/>
          <w:sz w:val="26"/>
          <w:szCs w:val="26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ЖК «Ботаника», ОАО «ТДСК»;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ЖК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ЛетоПарк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», ГК «Карьероуправление»;</w:t>
      </w:r>
      <w:r>
        <w:rPr>
          <w:rFonts w:ascii="PT Astra Serif" w:hAnsi="PT Astra Serif" w:eastAsia="Courier New" w:cs="Times New Roman"/>
          <w:strike/>
          <w:sz w:val="26"/>
          <w:szCs w:val="26"/>
        </w:rPr>
        <w:t xml:space="preserve">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многоквартирных домов в с. Кожевниково, ООО «СЗ 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КожевниковоСтрой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многоквартирного жилого дома в п. Самусь,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Администрация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ЗАТО Северск;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«умного города»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,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АО «Элеонор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Эмеральд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См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арт Сити»;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ЖК «Михайловский парк-квартал» (АО СЗ  «Михайловский парк-квартал-2).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Наука и образование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pStyle w:val="905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Общеобразовательная организация на 1100 мест по ул. А.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Крячкова</w:t>
      </w:r>
      <w:r>
        <w:rPr>
          <w:rFonts w:ascii="PT Astra Serif" w:hAnsi="PT Astra Serif" w:eastAsia="Courier New" w:cs="Times New Roman"/>
          <w:sz w:val="26"/>
          <w:szCs w:val="26"/>
        </w:rPr>
        <w:t xml:space="preserve">, 3 в г. Томске;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pStyle w:val="905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Здание общеобразовательной организации МБОУ "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Корниловская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СОШ" на 200 мест;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pStyle w:val="905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учебного корпуса школы на 200 мест для МБОУ 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БакчарскаяСОШ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  <w:tab w:val="left" w:pos="993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учебно-лабораторный корпус, НИ ТГУ (пр.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Ленина, 49);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  <w:tab w:val="left" w:pos="993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клинико-диагностический корпус НИИ кардиологии Томского научно-исследовательского центра.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  <w:tab w:val="left" w:pos="993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Деятельность в об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ласти здравоохранения и социальных услуг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поликлиники смешанного типа на 350 посещений </w:t>
      </w:r>
      <w:r>
        <w:rPr>
          <w:rFonts w:ascii="PT Astra Serif" w:hAnsi="PT Astra Serif" w:eastAsia="Courier New" w:cs="Times New Roman"/>
          <w:sz w:val="26"/>
          <w:szCs w:val="26"/>
        </w:rPr>
        <w:br/>
        <w:t xml:space="preserve">в смену с детским отделением на 120 посещений в смену по ул. Юрия Ковалева, жилой район «Восточный» в г. Томске Томской области;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поликлиники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смешанного типа мощностью 350 посещений в смену с детским отделением на 120 посещений в смену (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мкр</w:t>
      </w:r>
      <w:r>
        <w:rPr>
          <w:rFonts w:ascii="PT Astra Serif" w:hAnsi="PT Astra Serif" w:eastAsia="Courier New" w:cs="Times New Roman"/>
          <w:sz w:val="26"/>
          <w:szCs w:val="26"/>
        </w:rPr>
        <w:t xml:space="preserve">.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"Северный парк",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мкр</w:t>
      </w:r>
      <w:r>
        <w:rPr>
          <w:rFonts w:ascii="PT Astra Serif" w:hAnsi="PT Astra Serif" w:eastAsia="Courier New" w:cs="Times New Roman"/>
          <w:sz w:val="26"/>
          <w:szCs w:val="26"/>
        </w:rPr>
        <w:t xml:space="preserve">.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"Левобережный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лайф</w:t>
      </w:r>
      <w:r>
        <w:rPr>
          <w:rFonts w:ascii="PT Astra Serif" w:hAnsi="PT Astra Serif" w:eastAsia="Courier New" w:cs="Times New Roman"/>
          <w:sz w:val="26"/>
          <w:szCs w:val="26"/>
        </w:rPr>
        <w:t xml:space="preserve">");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поликлиники мощностью 200 посещений в смену для ОГАУЗ "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Светленская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районная больница".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highlight w:val="yellow"/>
        </w:rPr>
      </w:pP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  <w:r>
        <w:rPr>
          <w:rFonts w:ascii="PT Astra Serif" w:hAnsi="PT Astra Serif" w:eastAsia="Courier New" w:cs="Times New Roman"/>
          <w:sz w:val="26"/>
          <w:szCs w:val="26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  <w:u w:val="single"/>
        </w:rPr>
      </w:pP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Деятельнос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  <w:t xml:space="preserve">ть в области культуры, спорта, гостиниц и предприятий общественного питания, организация досуга и развлечений</w:t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  <w:r>
        <w:rPr>
          <w:rFonts w:ascii="PT Astra Serif" w:hAnsi="PT Astra Serif" w:eastAsia="Courier New" w:cs="Times New Roman"/>
          <w:sz w:val="26"/>
          <w:szCs w:val="26"/>
          <w:u w:val="singl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Строительство физкультурно-оздоровительного комплекса с универсальным игровым залом для МАУДО "ДЮСШ им. О.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Рахматулиной</w:t>
      </w:r>
      <w:r>
        <w:rPr>
          <w:rFonts w:ascii="PT Astra Serif" w:hAnsi="PT Astra Serif" w:eastAsia="Courier New" w:cs="Times New Roman"/>
          <w:sz w:val="26"/>
          <w:szCs w:val="26"/>
        </w:rPr>
        <w:t xml:space="preserve">" по ул. Ленина, 52 в г. Ко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лпашево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Колпашевского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района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Томской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области;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реконструкция сооружения «Дворец зрелищ и спорта», АО «Дворец Зрелищ и Спорта».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Кластерное развитие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eastAsia="Courier New" w:cs="Times New Roman"/>
          <w:sz w:val="26"/>
          <w:szCs w:val="26"/>
        </w:rPr>
      </w:pPr>
      <w:r>
        <w:rPr>
          <w:rFonts w:ascii="PT Astra Serif" w:hAnsi="PT Astra Serif" w:eastAsia="Courier New" w:cs="Times New Roman"/>
          <w:sz w:val="26"/>
          <w:szCs w:val="26"/>
        </w:rPr>
        <w:t xml:space="preserve">На территории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Томской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области создано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три промышленных кластера: «Лес, лесопереработка и лесохими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я», «Цветные и редкоземельные металлы», «Электроника и беспилотные технологии». В 2026 году планируется создать «Химический кластер»: партнёрство таких предприятий как «СХК», «Томскнефтехим», «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Новохим</w:t>
      </w:r>
      <w:r>
        <w:rPr>
          <w:rFonts w:ascii="PT Astra Serif" w:hAnsi="PT Astra Serif" w:eastAsia="Courier New" w:cs="Times New Roman"/>
          <w:sz w:val="26"/>
          <w:szCs w:val="26"/>
        </w:rPr>
        <w:t xml:space="preserve">», «Инжиниринговый химико-технологический центр». Планир</w:t>
      </w:r>
      <w:r>
        <w:rPr>
          <w:rFonts w:ascii="PT Astra Serif" w:hAnsi="PT Astra Serif" w:eastAsia="Courier New" w:cs="Times New Roman"/>
          <w:sz w:val="26"/>
          <w:szCs w:val="26"/>
        </w:rPr>
        <w:t xml:space="preserve">уемый объем инвестиций — 15,6 </w:t>
      </w:r>
      <w:r>
        <w:rPr>
          <w:rFonts w:ascii="PT Astra Serif" w:hAnsi="PT Astra Serif" w:eastAsia="Courier New" w:cs="Times New Roman"/>
          <w:sz w:val="26"/>
          <w:szCs w:val="26"/>
        </w:rPr>
        <w:t xml:space="preserve">млрд</w:t>
      </w:r>
      <w:r>
        <w:rPr>
          <w:rFonts w:ascii="PT Astra Serif" w:hAnsi="PT Astra Serif" w:eastAsia="Courier New" w:cs="Times New Roman"/>
          <w:sz w:val="26"/>
          <w:szCs w:val="26"/>
        </w:rPr>
        <w:t xml:space="preserve"> рублей. </w:t>
      </w:r>
      <w:r>
        <w:rPr>
          <w:rFonts w:ascii="PT Astra Serif" w:hAnsi="PT Astra Serif" w:eastAsia="Courier New" w:cs="Times New Roman"/>
          <w:sz w:val="26"/>
          <w:szCs w:val="26"/>
        </w:rPr>
      </w:r>
      <w:r>
        <w:rPr>
          <w:rFonts w:ascii="PT Astra Serif" w:hAnsi="PT Astra Serif" w:eastAsia="Courier New" w:cs="Times New Roman"/>
          <w:sz w:val="26"/>
          <w:szCs w:val="26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1134" w:left="1701" w:header="709" w:footer="709" w:gutter="0"/>
      <w:pgNumType w:start="58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65325064"/>
      <w:docPartObj>
        <w:docPartGallery w:val="Page Numbers (Top of Page)"/>
        <w:docPartUnique w:val="true"/>
      </w:docPartObj>
      <w:rPr/>
    </w:sdtPr>
    <w:sdtContent>
      <w:p>
        <w:pPr>
          <w:pStyle w:val="899"/>
          <w:jc w:val="center"/>
          <w:rPr>
            <w:rFonts w:ascii="PT Astra Serif" w:hAnsi="PT Astra Serif"/>
            <w:sz w:val="24"/>
            <w:szCs w:val="24"/>
          </w:rPr>
        </w:pPr>
        <w:r>
          <w:rPr>
            <w:rFonts w:ascii="PT Astra Serif" w:hAnsi="PT Astra Serif"/>
            <w:sz w:val="24"/>
            <w:szCs w:val="24"/>
          </w:rPr>
          <w:fldChar w:fldCharType="begin"/>
        </w:r>
        <w:r>
          <w:rPr>
            <w:rFonts w:ascii="PT Astra Serif" w:hAnsi="PT Astra Serif"/>
            <w:sz w:val="24"/>
            <w:szCs w:val="24"/>
          </w:rPr>
          <w:instrText xml:space="preserve">PAGE   \* MERGEFORMAT</w:instrText>
        </w:r>
        <w:r>
          <w:rPr>
            <w:rFonts w:ascii="PT Astra Serif" w:hAnsi="PT Astra Serif"/>
            <w:sz w:val="24"/>
            <w:szCs w:val="24"/>
          </w:rPr>
          <w:fldChar w:fldCharType="separate"/>
        </w:r>
        <w:r>
          <w:rPr>
            <w:rFonts w:ascii="PT Astra Serif" w:hAnsi="PT Astra Serif"/>
            <w:sz w:val="24"/>
            <w:szCs w:val="24"/>
          </w:rPr>
          <w:t xml:space="preserve">61</w:t>
        </w:r>
        <w:r>
          <w:rPr>
            <w:rFonts w:ascii="PT Astra Serif" w:hAnsi="PT Astra Serif"/>
            <w:sz w:val="24"/>
            <w:szCs w:val="24"/>
          </w:rPr>
          <w:fldChar w:fldCharType="end"/>
        </w:r>
        <w:r>
          <w:rPr>
            <w:rFonts w:ascii="PT Astra Serif" w:hAnsi="PT Astra Serif"/>
            <w:sz w:val="24"/>
            <w:szCs w:val="24"/>
          </w:rPr>
        </w:r>
        <w:r>
          <w:rPr>
            <w:rFonts w:ascii="PT Astra Serif" w:hAnsi="PT Astra Serif"/>
            <w:sz w:val="24"/>
            <w:szCs w:val="24"/>
          </w:rPr>
        </w:r>
      </w:p>
    </w:sdtContent>
  </w:sdt>
  <w:p>
    <w:pPr>
      <w:pStyle w:val="8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jc w:val="center"/>
      <w:rPr>
        <w:rFonts w:ascii="PT Astra Serif" w:hAnsi="PT Astra Serif"/>
        <w:sz w:val="24"/>
        <w:szCs w:val="24"/>
      </w:rPr>
    </w:pPr>
    <w:r>
      <w:rPr>
        <w:rFonts w:ascii="PT Astra Serif" w:hAnsi="PT Astra Serif"/>
        <w:sz w:val="24"/>
        <w:szCs w:val="24"/>
      </w:rPr>
      <w:t xml:space="preserve">58</w:t>
    </w:r>
    <w:r>
      <w:rPr>
        <w:rFonts w:ascii="PT Astra Serif" w:hAnsi="PT Astra Serif"/>
        <w:sz w:val="24"/>
        <w:szCs w:val="24"/>
      </w:rPr>
    </w:r>
    <w:r>
      <w:rPr>
        <w:rFonts w:ascii="PT Astra Serif" w:hAnsi="PT Astra Serif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927" w:hanging="360"/>
      </w:pPr>
      <w:rPr>
        <w:rFonts w:hint="default" w:ascii="PT Astra Serif" w:hAnsi="PT Astra Serif" w:eastAsia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</w:style>
  <w:style w:type="paragraph" w:styleId="706">
    <w:name w:val="Heading 1"/>
    <w:basedOn w:val="705"/>
    <w:next w:val="705"/>
    <w:link w:val="734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07">
    <w:name w:val="Heading 2"/>
    <w:basedOn w:val="705"/>
    <w:next w:val="705"/>
    <w:link w:val="735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708">
    <w:name w:val="Heading 3"/>
    <w:basedOn w:val="705"/>
    <w:next w:val="705"/>
    <w:link w:val="736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09">
    <w:name w:val="Heading 4"/>
    <w:basedOn w:val="705"/>
    <w:next w:val="705"/>
    <w:link w:val="737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0">
    <w:name w:val="Heading 5"/>
    <w:basedOn w:val="705"/>
    <w:next w:val="705"/>
    <w:link w:val="738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1">
    <w:name w:val="Heading 6"/>
    <w:basedOn w:val="705"/>
    <w:next w:val="705"/>
    <w:link w:val="739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12">
    <w:name w:val="Heading 7"/>
    <w:basedOn w:val="705"/>
    <w:next w:val="705"/>
    <w:link w:val="740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13">
    <w:name w:val="Heading 8"/>
    <w:basedOn w:val="705"/>
    <w:next w:val="705"/>
    <w:link w:val="741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14">
    <w:name w:val="Heading 9"/>
    <w:basedOn w:val="705"/>
    <w:next w:val="705"/>
    <w:link w:val="742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Liberation Sans" w:hAnsi="Liberation Sans" w:eastAsia="Liberation Sans" w:cs="Liberation Sans"/>
      <w:sz w:val="34"/>
    </w:rPr>
  </w:style>
  <w:style w:type="character" w:styleId="720" w:customStyle="1">
    <w:name w:val="Heading 3 Char"/>
    <w:basedOn w:val="71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Caption Char"/>
    <w:basedOn w:val="715"/>
    <w:uiPriority w:val="35"/>
    <w:rPr>
      <w:b/>
      <w:bCs/>
      <w:color w:val="4f81bd" w:themeColor="accent1"/>
      <w:sz w:val="18"/>
      <w:szCs w:val="18"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"/>
    <w:basedOn w:val="715"/>
    <w:link w:val="70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5" w:customStyle="1">
    <w:name w:val="Заголовок 2 Знак"/>
    <w:basedOn w:val="715"/>
    <w:link w:val="707"/>
    <w:uiPriority w:val="9"/>
    <w:rPr>
      <w:rFonts w:ascii="Liberation Sans" w:hAnsi="Liberation Sans" w:eastAsia="Liberation Sans" w:cs="Liberation Sans"/>
      <w:sz w:val="34"/>
    </w:rPr>
  </w:style>
  <w:style w:type="character" w:styleId="736" w:customStyle="1">
    <w:name w:val="Заголовок 3 Знак"/>
    <w:basedOn w:val="715"/>
    <w:link w:val="70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7" w:customStyle="1">
    <w:name w:val="Заголовок 4 Знак"/>
    <w:basedOn w:val="715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8" w:customStyle="1">
    <w:name w:val="Заголовок 5 Знак"/>
    <w:basedOn w:val="715"/>
    <w:link w:val="71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9" w:customStyle="1">
    <w:name w:val="Заголовок 6 Знак"/>
    <w:basedOn w:val="715"/>
    <w:link w:val="71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0" w:customStyle="1">
    <w:name w:val="Заголовок 7 Знак"/>
    <w:basedOn w:val="715"/>
    <w:link w:val="71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1" w:customStyle="1">
    <w:name w:val="Заголовок 8 Знак"/>
    <w:basedOn w:val="715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2" w:customStyle="1">
    <w:name w:val="Заголовок 9 Знак"/>
    <w:basedOn w:val="715"/>
    <w:link w:val="71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3">
    <w:name w:val="No Spacing"/>
    <w:uiPriority w:val="1"/>
    <w:qFormat/>
    <w:pPr>
      <w:spacing w:after="0" w:line="240" w:lineRule="auto"/>
    </w:pPr>
  </w:style>
  <w:style w:type="paragraph" w:styleId="744">
    <w:name w:val="Title"/>
    <w:basedOn w:val="705"/>
    <w:next w:val="705"/>
    <w:link w:val="745"/>
    <w:uiPriority w:val="10"/>
    <w:qFormat/>
    <w:pPr>
      <w:contextualSpacing/>
      <w:spacing w:before="300"/>
    </w:pPr>
    <w:rPr>
      <w:sz w:val="48"/>
      <w:szCs w:val="48"/>
    </w:rPr>
  </w:style>
  <w:style w:type="character" w:styleId="745" w:customStyle="1">
    <w:name w:val="Название Знак"/>
    <w:basedOn w:val="715"/>
    <w:link w:val="744"/>
    <w:uiPriority w:val="10"/>
    <w:rPr>
      <w:sz w:val="48"/>
      <w:szCs w:val="48"/>
    </w:rPr>
  </w:style>
  <w:style w:type="paragraph" w:styleId="746">
    <w:name w:val="Subtitle"/>
    <w:basedOn w:val="705"/>
    <w:next w:val="705"/>
    <w:link w:val="747"/>
    <w:uiPriority w:val="11"/>
    <w:qFormat/>
    <w:pPr>
      <w:spacing w:before="200"/>
    </w:pPr>
    <w:rPr>
      <w:sz w:val="24"/>
      <w:szCs w:val="24"/>
    </w:rPr>
  </w:style>
  <w:style w:type="character" w:styleId="747" w:customStyle="1">
    <w:name w:val="Подзаголовок Знак"/>
    <w:basedOn w:val="715"/>
    <w:link w:val="746"/>
    <w:uiPriority w:val="11"/>
    <w:rPr>
      <w:sz w:val="24"/>
      <w:szCs w:val="24"/>
    </w:rPr>
  </w:style>
  <w:style w:type="paragraph" w:styleId="748">
    <w:name w:val="Quote"/>
    <w:basedOn w:val="705"/>
    <w:next w:val="705"/>
    <w:link w:val="749"/>
    <w:uiPriority w:val="29"/>
    <w:qFormat/>
    <w:pPr>
      <w:ind w:left="720" w:right="720"/>
    </w:pPr>
    <w:rPr>
      <w:i/>
    </w:rPr>
  </w:style>
  <w:style w:type="character" w:styleId="749" w:customStyle="1">
    <w:name w:val="Цитата 2 Знак"/>
    <w:link w:val="748"/>
    <w:uiPriority w:val="29"/>
    <w:rPr>
      <w:i/>
    </w:rPr>
  </w:style>
  <w:style w:type="paragraph" w:styleId="750">
    <w:name w:val="Intense Quote"/>
    <w:basedOn w:val="705"/>
    <w:next w:val="705"/>
    <w:link w:val="75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1" w:customStyle="1">
    <w:name w:val="Выделенная цитата Знак"/>
    <w:link w:val="750"/>
    <w:uiPriority w:val="30"/>
    <w:rPr>
      <w:i/>
    </w:rPr>
  </w:style>
  <w:style w:type="character" w:styleId="752" w:customStyle="1">
    <w:name w:val="Header Char"/>
    <w:basedOn w:val="715"/>
    <w:uiPriority w:val="99"/>
  </w:style>
  <w:style w:type="character" w:styleId="753" w:customStyle="1">
    <w:name w:val="Footer Char"/>
    <w:basedOn w:val="715"/>
    <w:uiPriority w:val="99"/>
  </w:style>
  <w:style w:type="paragraph" w:styleId="754">
    <w:name w:val="Caption"/>
    <w:basedOn w:val="705"/>
    <w:next w:val="705"/>
    <w:link w:val="75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5" w:customStyle="1">
    <w:name w:val="Название объекта Знак"/>
    <w:basedOn w:val="715"/>
    <w:link w:val="754"/>
    <w:uiPriority w:val="35"/>
    <w:rPr>
      <w:b/>
      <w:bCs/>
      <w:color w:val="4f81bd" w:themeColor="accent1"/>
      <w:sz w:val="18"/>
      <w:szCs w:val="18"/>
    </w:rPr>
  </w:style>
  <w:style w:type="table" w:styleId="756" w:customStyle="1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8" w:customStyle="1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9" w:customStyle="1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 w:customStyle="1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 w:customStyle="1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5" w:customStyle="1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7" w:customStyle="1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9" w:customStyle="1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0" w:customStyle="1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8" w:customStyle="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9" w:customStyle="1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0" w:customStyle="1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1" w:customStyle="1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2" w:customStyle="1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3" w:customStyle="1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5" w:customStyle="1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0" w:customStyle="1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1" w:customStyle="1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2" w:customStyle="1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3" w:customStyle="1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4" w:customStyle="1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5" w:customStyle="1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6" w:customStyle="1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7" w:customStyle="1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8" w:customStyle="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9" w:customStyle="1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0" w:customStyle="1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1" w:customStyle="1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2" w:customStyle="1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3" w:customStyle="1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2" w:customStyle="1">
    <w:name w:val="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3" w:customStyle="1">
    <w:name w:val="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4" w:customStyle="1">
    <w:name w:val="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5" w:customStyle="1">
    <w:name w:val="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6" w:customStyle="1">
    <w:name w:val="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7" w:customStyle="1">
    <w:name w:val="Bordered &amp; 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Bordered &amp; 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9" w:customStyle="1">
    <w:name w:val="Bordered &amp; 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0" w:customStyle="1">
    <w:name w:val="Bordered &amp; 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1" w:customStyle="1">
    <w:name w:val="Bordered &amp; 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2" w:customStyle="1">
    <w:name w:val="Bordered &amp; 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3" w:customStyle="1">
    <w:name w:val="Bordered &amp; 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4" w:customStyle="1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5" w:customStyle="1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6" w:customStyle="1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7" w:customStyle="1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8" w:customStyle="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9" w:customStyle="1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0" w:customStyle="1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1">
    <w:name w:val="Hyperlink"/>
    <w:uiPriority w:val="99"/>
    <w:unhideWhenUsed/>
    <w:rPr>
      <w:color w:val="0000ff" w:themeColor="hyperlink"/>
      <w:u w:val="single"/>
    </w:rPr>
  </w:style>
  <w:style w:type="paragraph" w:styleId="882">
    <w:name w:val="footnote text"/>
    <w:basedOn w:val="705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15"/>
    <w:uiPriority w:val="99"/>
    <w:unhideWhenUsed/>
    <w:rPr>
      <w:vertAlign w:val="superscript"/>
    </w:rPr>
  </w:style>
  <w:style w:type="paragraph" w:styleId="885">
    <w:name w:val="endnote text"/>
    <w:basedOn w:val="705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15"/>
    <w:uiPriority w:val="99"/>
    <w:semiHidden/>
    <w:unhideWhenUsed/>
    <w:rPr>
      <w:vertAlign w:val="superscript"/>
    </w:rPr>
  </w:style>
  <w:style w:type="paragraph" w:styleId="888">
    <w:name w:val="toc 1"/>
    <w:basedOn w:val="705"/>
    <w:next w:val="705"/>
    <w:uiPriority w:val="39"/>
    <w:unhideWhenUsed/>
    <w:pPr>
      <w:spacing w:after="57"/>
    </w:pPr>
  </w:style>
  <w:style w:type="paragraph" w:styleId="889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90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91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92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3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4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95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96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705"/>
    <w:next w:val="705"/>
    <w:uiPriority w:val="99"/>
    <w:unhideWhenUsed/>
    <w:pPr>
      <w:spacing w:after="0"/>
    </w:pPr>
  </w:style>
  <w:style w:type="paragraph" w:styleId="899">
    <w:name w:val="Header"/>
    <w:basedOn w:val="705"/>
    <w:link w:val="90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basedOn w:val="715"/>
    <w:link w:val="899"/>
    <w:uiPriority w:val="99"/>
  </w:style>
  <w:style w:type="paragraph" w:styleId="901">
    <w:name w:val="Footer"/>
    <w:basedOn w:val="705"/>
    <w:link w:val="9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715"/>
    <w:link w:val="901"/>
    <w:uiPriority w:val="99"/>
  </w:style>
  <w:style w:type="paragraph" w:styleId="903">
    <w:name w:val="Balloon Text"/>
    <w:basedOn w:val="705"/>
    <w:link w:val="90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4" w:customStyle="1">
    <w:name w:val="Текст выноски Знак"/>
    <w:basedOn w:val="715"/>
    <w:link w:val="903"/>
    <w:uiPriority w:val="99"/>
    <w:semiHidden/>
    <w:rPr>
      <w:rFonts w:ascii="Tahoma" w:hAnsi="Tahoma" w:cs="Tahoma"/>
      <w:sz w:val="16"/>
      <w:szCs w:val="16"/>
    </w:rPr>
  </w:style>
  <w:style w:type="paragraph" w:styleId="905">
    <w:name w:val="List Paragraph"/>
    <w:basedOn w:val="705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link w:val="905"/>
    <w:uiPriority w:val="34"/>
  </w:style>
  <w:style w:type="character" w:styleId="907">
    <w:name w:val="annotation reference"/>
    <w:basedOn w:val="715"/>
    <w:uiPriority w:val="99"/>
    <w:semiHidden/>
    <w:unhideWhenUsed/>
    <w:rPr>
      <w:sz w:val="16"/>
      <w:szCs w:val="16"/>
    </w:rPr>
  </w:style>
  <w:style w:type="paragraph" w:styleId="908">
    <w:name w:val="annotation text"/>
    <w:basedOn w:val="705"/>
    <w:link w:val="90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9" w:customStyle="1">
    <w:name w:val="Текст примечания Знак"/>
    <w:basedOn w:val="715"/>
    <w:link w:val="908"/>
    <w:uiPriority w:val="99"/>
    <w:semiHidden/>
    <w:rPr>
      <w:sz w:val="20"/>
      <w:szCs w:val="20"/>
    </w:rPr>
  </w:style>
  <w:style w:type="paragraph" w:styleId="910">
    <w:name w:val="annotation subject"/>
    <w:basedOn w:val="908"/>
    <w:next w:val="908"/>
    <w:link w:val="911"/>
    <w:uiPriority w:val="99"/>
    <w:semiHidden/>
    <w:unhideWhenUsed/>
    <w:rPr>
      <w:b/>
      <w:bCs/>
    </w:rPr>
  </w:style>
  <w:style w:type="character" w:styleId="911" w:customStyle="1">
    <w:name w:val="Тема примечания Знак"/>
    <w:basedOn w:val="909"/>
    <w:link w:val="910"/>
    <w:uiPriority w:val="99"/>
    <w:semiHidden/>
    <w:rPr>
      <w:b/>
      <w:bCs/>
      <w:sz w:val="20"/>
      <w:szCs w:val="20"/>
    </w:rPr>
  </w:style>
  <w:style w:type="table" w:styleId="912">
    <w:name w:val="Table Grid"/>
    <w:basedOn w:val="7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3">
    <w:name w:val="Normal (Web)"/>
    <w:basedOn w:val="70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2F1CF-67E6-41D8-AD75-A4F58708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ATO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andreevava@ato.gov70.ru</cp:lastModifiedBy>
  <cp:revision>21</cp:revision>
  <dcterms:created xsi:type="dcterms:W3CDTF">2025-10-03T03:56:00Z</dcterms:created>
  <dcterms:modified xsi:type="dcterms:W3CDTF">2026-08-17T09:06:15Z</dcterms:modified>
</cp:coreProperties>
</file>